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AB" w:rsidRPr="00F62ED7" w:rsidRDefault="006E57AB" w:rsidP="00F639AE">
      <w:pPr>
        <w:spacing w:after="0" w:line="360" w:lineRule="auto"/>
        <w:ind w:firstLine="720"/>
        <w:rPr>
          <w:b/>
          <w:sz w:val="28"/>
          <w:szCs w:val="28"/>
          <w:lang w:val="en-US"/>
        </w:rPr>
      </w:pPr>
      <w:r w:rsidRPr="00F62ED7">
        <w:rPr>
          <w:b/>
          <w:sz w:val="28"/>
          <w:szCs w:val="28"/>
          <w:lang w:val="en-US"/>
        </w:rPr>
        <w:t xml:space="preserve">Health-education to Prevent </w:t>
      </w:r>
      <w:r w:rsidRPr="00F62ED7">
        <w:rPr>
          <w:b/>
          <w:sz w:val="28"/>
          <w:szCs w:val="28"/>
          <w:lang w:val="en"/>
        </w:rPr>
        <w:t xml:space="preserve">COVID-19 in </w:t>
      </w:r>
      <w:r w:rsidRPr="00F62ED7">
        <w:rPr>
          <w:b/>
          <w:sz w:val="28"/>
          <w:szCs w:val="28"/>
          <w:lang w:val="en-US"/>
        </w:rPr>
        <w:t>Schoolchildren</w:t>
      </w:r>
    </w:p>
    <w:p w:rsidR="006E57AB" w:rsidRDefault="006E57AB" w:rsidP="00F639AE">
      <w:pPr>
        <w:spacing w:after="0" w:line="480" w:lineRule="auto"/>
        <w:rPr>
          <w:sz w:val="22"/>
          <w:szCs w:val="22"/>
          <w:lang w:val="en-US"/>
        </w:rPr>
      </w:pPr>
    </w:p>
    <w:p w:rsidR="006E57AB" w:rsidRPr="00F62ED7" w:rsidRDefault="006E57AB" w:rsidP="00F639AE">
      <w:pPr>
        <w:spacing w:after="0" w:line="480" w:lineRule="auto"/>
        <w:rPr>
          <w:sz w:val="22"/>
          <w:szCs w:val="22"/>
          <w:lang w:val="en-US"/>
        </w:rPr>
      </w:pPr>
      <w:r w:rsidRPr="00F62ED7">
        <w:rPr>
          <w:sz w:val="22"/>
          <w:szCs w:val="22"/>
          <w:lang w:val="en-US"/>
        </w:rPr>
        <w:t>Darren J Gray</w:t>
      </w:r>
      <w:r>
        <w:rPr>
          <w:sz w:val="22"/>
          <w:szCs w:val="22"/>
          <w:lang w:val="en-US"/>
        </w:rPr>
        <w:t xml:space="preserve"> PhD</w:t>
      </w:r>
      <w:r w:rsidRPr="00F62ED7">
        <w:rPr>
          <w:sz w:val="22"/>
          <w:szCs w:val="22"/>
          <w:lang w:val="en-US"/>
        </w:rPr>
        <w:t>*</w:t>
      </w:r>
      <w:r w:rsidRPr="00F62ED7">
        <w:rPr>
          <w:sz w:val="22"/>
          <w:szCs w:val="22"/>
          <w:vertAlign w:val="superscript"/>
          <w:lang w:val="en-US"/>
        </w:rPr>
        <w:t>§1</w:t>
      </w:r>
      <w:r w:rsidRPr="00F62ED7">
        <w:rPr>
          <w:sz w:val="22"/>
          <w:szCs w:val="22"/>
          <w:lang w:val="en-US"/>
        </w:rPr>
        <w:t>, Johanna Kurscheid</w:t>
      </w:r>
      <w:r>
        <w:rPr>
          <w:sz w:val="22"/>
          <w:szCs w:val="22"/>
          <w:lang w:val="en-US"/>
        </w:rPr>
        <w:t xml:space="preserve"> PhD</w:t>
      </w:r>
      <w:r>
        <w:rPr>
          <w:sz w:val="22"/>
          <w:szCs w:val="22"/>
          <w:vertAlign w:val="superscript"/>
          <w:lang w:val="en-US"/>
        </w:rPr>
        <w:t>§1</w:t>
      </w:r>
      <w:r w:rsidRPr="00F62ED7">
        <w:rPr>
          <w:sz w:val="22"/>
          <w:szCs w:val="22"/>
          <w:lang w:val="en-US"/>
        </w:rPr>
        <w:t>, Mary Lorraine Mationg</w:t>
      </w:r>
      <w:r>
        <w:rPr>
          <w:sz w:val="22"/>
          <w:szCs w:val="22"/>
          <w:lang w:val="en-US"/>
        </w:rPr>
        <w:t xml:space="preserve"> MSc</w:t>
      </w:r>
      <w:r w:rsidRPr="0059353D">
        <w:rPr>
          <w:sz w:val="22"/>
          <w:szCs w:val="22"/>
          <w:vertAlign w:val="superscript"/>
          <w:lang w:val="en-US"/>
        </w:rPr>
        <w:t>1</w:t>
      </w:r>
      <w:r w:rsidRPr="00F62ED7">
        <w:rPr>
          <w:sz w:val="22"/>
          <w:szCs w:val="22"/>
          <w:lang w:val="en-US"/>
        </w:rPr>
        <w:t>, Gail M Williams</w:t>
      </w:r>
      <w:r>
        <w:rPr>
          <w:sz w:val="22"/>
          <w:szCs w:val="22"/>
          <w:lang w:val="en-US"/>
        </w:rPr>
        <w:t xml:space="preserve"> PhD</w:t>
      </w:r>
      <w:r>
        <w:rPr>
          <w:sz w:val="22"/>
          <w:szCs w:val="22"/>
          <w:vertAlign w:val="superscript"/>
          <w:lang w:val="en-US"/>
        </w:rPr>
        <w:t>2</w:t>
      </w:r>
      <w:r w:rsidRPr="00F62ED7">
        <w:rPr>
          <w:sz w:val="22"/>
          <w:szCs w:val="22"/>
          <w:lang w:val="en-US"/>
        </w:rPr>
        <w:t>, Catherine Gordon</w:t>
      </w:r>
      <w:r>
        <w:rPr>
          <w:sz w:val="22"/>
          <w:szCs w:val="22"/>
          <w:lang w:val="en-US"/>
        </w:rPr>
        <w:t xml:space="preserve"> PhD</w:t>
      </w:r>
      <w:r>
        <w:rPr>
          <w:sz w:val="22"/>
          <w:szCs w:val="22"/>
          <w:vertAlign w:val="superscript"/>
          <w:lang w:val="en-US"/>
        </w:rPr>
        <w:t>3</w:t>
      </w:r>
      <w:r w:rsidRPr="00F62ED7">
        <w:rPr>
          <w:sz w:val="22"/>
          <w:szCs w:val="22"/>
          <w:lang w:val="en-US"/>
        </w:rPr>
        <w:t>, Matthew Kelly</w:t>
      </w:r>
      <w:r>
        <w:rPr>
          <w:sz w:val="22"/>
          <w:szCs w:val="22"/>
          <w:lang w:val="en-US"/>
        </w:rPr>
        <w:t xml:space="preserve"> PhD</w:t>
      </w:r>
      <w:r>
        <w:rPr>
          <w:sz w:val="22"/>
          <w:szCs w:val="22"/>
          <w:vertAlign w:val="superscript"/>
          <w:lang w:val="en-US"/>
        </w:rPr>
        <w:t>1</w:t>
      </w:r>
      <w:r w:rsidRPr="00F62ED7">
        <w:rPr>
          <w:sz w:val="22"/>
          <w:szCs w:val="22"/>
          <w:lang w:val="en-US"/>
        </w:rPr>
        <w:t>, Kinley Wangdi</w:t>
      </w:r>
      <w:r>
        <w:rPr>
          <w:sz w:val="22"/>
          <w:szCs w:val="22"/>
          <w:lang w:val="en-US"/>
        </w:rPr>
        <w:t xml:space="preserve"> PhD</w:t>
      </w:r>
      <w:r>
        <w:rPr>
          <w:sz w:val="22"/>
          <w:szCs w:val="22"/>
          <w:vertAlign w:val="superscript"/>
          <w:lang w:val="en-US"/>
        </w:rPr>
        <w:t>1</w:t>
      </w:r>
      <w:r>
        <w:rPr>
          <w:sz w:val="22"/>
          <w:szCs w:val="22"/>
          <w:lang w:val="en-US"/>
        </w:rPr>
        <w:t>, Donald P McManus PhD, DSc*</w:t>
      </w:r>
      <w:r>
        <w:rPr>
          <w:sz w:val="22"/>
          <w:szCs w:val="22"/>
          <w:vertAlign w:val="superscript"/>
          <w:lang w:val="en-US"/>
        </w:rPr>
        <w:t>3</w:t>
      </w:r>
    </w:p>
    <w:p w:rsidR="006E57AB" w:rsidRPr="00F62ED7" w:rsidRDefault="006E57AB" w:rsidP="001C1D31">
      <w:pPr>
        <w:spacing w:after="0" w:line="480" w:lineRule="auto"/>
        <w:rPr>
          <w:sz w:val="22"/>
          <w:szCs w:val="22"/>
          <w:lang w:val="en-US"/>
        </w:rPr>
      </w:pPr>
    </w:p>
    <w:p w:rsidR="006E57AB" w:rsidRDefault="006E57AB" w:rsidP="001C1D31">
      <w:pPr>
        <w:pStyle w:val="ListParagraph"/>
        <w:numPr>
          <w:ilvl w:val="0"/>
          <w:numId w:val="7"/>
        </w:numPr>
        <w:spacing w:after="0" w:line="480" w:lineRule="auto"/>
        <w:rPr>
          <w:sz w:val="22"/>
          <w:szCs w:val="22"/>
          <w:lang w:val="en-US"/>
        </w:rPr>
      </w:pPr>
      <w:r w:rsidRPr="00F62ED7">
        <w:rPr>
          <w:sz w:val="22"/>
          <w:szCs w:val="22"/>
          <w:lang w:val="en-US"/>
        </w:rPr>
        <w:t xml:space="preserve">Department of Global Health, Research School of Population Health, Australian National University, Canberra, Australia </w:t>
      </w:r>
    </w:p>
    <w:p w:rsidR="006E57AB" w:rsidRDefault="006E57AB" w:rsidP="001C1D31">
      <w:pPr>
        <w:pStyle w:val="ListParagraph"/>
        <w:numPr>
          <w:ilvl w:val="0"/>
          <w:numId w:val="7"/>
        </w:numPr>
        <w:spacing w:after="0" w:line="480" w:lineRule="auto"/>
        <w:rPr>
          <w:sz w:val="22"/>
          <w:szCs w:val="22"/>
          <w:lang w:val="en-US"/>
        </w:rPr>
      </w:pPr>
      <w:r w:rsidRPr="00F62ED7">
        <w:rPr>
          <w:sz w:val="22"/>
          <w:szCs w:val="22"/>
          <w:lang w:val="en-US"/>
        </w:rPr>
        <w:t>School of Public Health, University of Queensland, Brisbane, Australia</w:t>
      </w:r>
    </w:p>
    <w:p w:rsidR="006E57AB" w:rsidRDefault="006E57AB" w:rsidP="001C1D31">
      <w:pPr>
        <w:pStyle w:val="ListParagraph"/>
        <w:numPr>
          <w:ilvl w:val="0"/>
          <w:numId w:val="7"/>
        </w:numPr>
        <w:spacing w:after="0" w:line="480" w:lineRule="auto"/>
        <w:rPr>
          <w:sz w:val="22"/>
          <w:szCs w:val="22"/>
          <w:lang w:val="en-US"/>
        </w:rPr>
      </w:pPr>
      <w:r w:rsidRPr="00F62ED7">
        <w:rPr>
          <w:sz w:val="22"/>
          <w:szCs w:val="22"/>
          <w:lang w:val="en-US"/>
        </w:rPr>
        <w:t xml:space="preserve">Molecular Parasitology Laboratory, QIMR Berghofer Medical Research Institute, Brisbane, Australia  </w:t>
      </w:r>
    </w:p>
    <w:p w:rsidR="006E57AB" w:rsidRPr="00F62ED7" w:rsidRDefault="006E57AB" w:rsidP="001C1D31">
      <w:pPr>
        <w:spacing w:after="0" w:line="480" w:lineRule="auto"/>
        <w:rPr>
          <w:sz w:val="22"/>
          <w:szCs w:val="22"/>
          <w:lang w:val="en-US"/>
        </w:rPr>
      </w:pPr>
    </w:p>
    <w:p w:rsidR="006E57AB" w:rsidRPr="00F62ED7" w:rsidRDefault="006E57AB" w:rsidP="001C1D31">
      <w:pPr>
        <w:spacing w:after="0" w:line="480" w:lineRule="auto"/>
        <w:rPr>
          <w:sz w:val="22"/>
          <w:szCs w:val="22"/>
          <w:lang w:val="en-US"/>
        </w:rPr>
      </w:pPr>
      <w:r w:rsidRPr="00F62ED7">
        <w:rPr>
          <w:sz w:val="22"/>
          <w:szCs w:val="22"/>
          <w:vertAlign w:val="superscript"/>
          <w:lang w:val="en-US"/>
        </w:rPr>
        <w:t>§</w:t>
      </w:r>
      <w:r w:rsidRPr="00F62ED7">
        <w:rPr>
          <w:sz w:val="22"/>
          <w:szCs w:val="22"/>
          <w:lang w:val="en-US"/>
        </w:rPr>
        <w:t xml:space="preserve">Joint first Author </w:t>
      </w:r>
    </w:p>
    <w:p w:rsidR="006E57AB" w:rsidRPr="00F62ED7" w:rsidRDefault="006E57AB" w:rsidP="001C1D31">
      <w:pPr>
        <w:spacing w:after="0" w:line="480" w:lineRule="auto"/>
        <w:rPr>
          <w:sz w:val="22"/>
          <w:szCs w:val="22"/>
          <w:lang w:val="en-US"/>
        </w:rPr>
      </w:pPr>
      <w:r w:rsidRPr="00F62ED7">
        <w:rPr>
          <w:sz w:val="22"/>
          <w:szCs w:val="22"/>
          <w:lang w:val="en-US"/>
        </w:rPr>
        <w:t>*Correspondence: Darren Gray (</w:t>
      </w:r>
      <w:hyperlink r:id="rId7" w:history="1">
        <w:r w:rsidRPr="00F62ED7">
          <w:rPr>
            <w:rStyle w:val="Hyperlink"/>
            <w:sz w:val="22"/>
            <w:szCs w:val="22"/>
          </w:rPr>
          <w:t>darren.gray@anu.edu.au</w:t>
        </w:r>
      </w:hyperlink>
      <w:r w:rsidRPr="00F62ED7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>; Donald P McManus</w:t>
      </w:r>
      <w:r w:rsidRPr="00F62ED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(donm@qimr.edu.au)</w:t>
      </w:r>
    </w:p>
    <w:p w:rsidR="006E57AB" w:rsidRDefault="006E57AB" w:rsidP="001C1D31">
      <w:pPr>
        <w:spacing w:line="480" w:lineRule="auto"/>
      </w:pPr>
    </w:p>
    <w:p w:rsidR="006E57AB" w:rsidRPr="00985BF7" w:rsidRDefault="006E57AB" w:rsidP="00340FEC">
      <w:pPr>
        <w:spacing w:after="0" w:line="360" w:lineRule="auto"/>
        <w:rPr>
          <w:lang w:val="en-US"/>
        </w:rPr>
      </w:pPr>
    </w:p>
    <w:p w:rsidR="006E57AB" w:rsidRDefault="006E57AB" w:rsidP="0059353D">
      <w:pPr>
        <w:spacing w:line="480" w:lineRule="auto"/>
        <w:rPr>
          <w:iCs/>
        </w:rPr>
      </w:pPr>
      <w:r>
        <w:rPr>
          <w:iCs/>
        </w:rPr>
        <w:t>The scant current scientific e</w:t>
      </w:r>
      <w:r w:rsidRPr="00340FEC">
        <w:rPr>
          <w:iCs/>
        </w:rPr>
        <w:t xml:space="preserve">vidence suggests that COVID-19 is </w:t>
      </w:r>
      <w:r>
        <w:rPr>
          <w:iCs/>
        </w:rPr>
        <w:t>less</w:t>
      </w:r>
      <w:r w:rsidRPr="00340FEC">
        <w:rPr>
          <w:iCs/>
        </w:rPr>
        <w:t xml:space="preserve"> severe in children</w:t>
      </w:r>
      <w:r>
        <w:rPr>
          <w:iCs/>
        </w:rPr>
        <w:t xml:space="preserve"> than in adults</w:t>
      </w:r>
      <w:r w:rsidRPr="00340FEC">
        <w:rPr>
          <w:iCs/>
        </w:rPr>
        <w:t xml:space="preserve"> and </w:t>
      </w:r>
      <w:r>
        <w:rPr>
          <w:iCs/>
        </w:rPr>
        <w:t>that children</w:t>
      </w:r>
      <w:r w:rsidRPr="00340FEC">
        <w:rPr>
          <w:iCs/>
        </w:rPr>
        <w:t xml:space="preserve"> are more likely to be asympto</w:t>
      </w:r>
      <w:r>
        <w:rPr>
          <w:iCs/>
        </w:rPr>
        <w:t>matic or have mild disease</w:t>
      </w:r>
      <w:r w:rsidR="00F639AE">
        <w:rPr>
          <w:iCs/>
        </w:rPr>
        <w:t>.</w:t>
      </w:r>
      <w:r w:rsidRPr="00F639AE">
        <w:rPr>
          <w:iCs/>
          <w:vertAlign w:val="superscript"/>
        </w:rPr>
        <w:t>1</w:t>
      </w:r>
      <w:r w:rsidR="00F639AE">
        <w:rPr>
          <w:iCs/>
        </w:rPr>
        <w:t xml:space="preserve"> </w:t>
      </w:r>
      <w:r>
        <w:rPr>
          <w:iCs/>
        </w:rPr>
        <w:t>However, t</w:t>
      </w:r>
      <w:r w:rsidRPr="00340FEC">
        <w:rPr>
          <w:iCs/>
        </w:rPr>
        <w:t>h</w:t>
      </w:r>
      <w:r>
        <w:rPr>
          <w:iCs/>
        </w:rPr>
        <w:t>ese observations</w:t>
      </w:r>
      <w:r w:rsidRPr="00340FEC">
        <w:rPr>
          <w:iCs/>
        </w:rPr>
        <w:t xml:space="preserve"> </w:t>
      </w:r>
      <w:r>
        <w:rPr>
          <w:iCs/>
        </w:rPr>
        <w:t xml:space="preserve">provide no elucidation of the potential role of children in transmitting the disease. </w:t>
      </w:r>
      <w:r w:rsidRPr="00340FEC">
        <w:rPr>
          <w:iCs/>
        </w:rPr>
        <w:t xml:space="preserve"> </w:t>
      </w:r>
    </w:p>
    <w:p w:rsidR="006E57AB" w:rsidRPr="002870EF" w:rsidRDefault="006E57AB" w:rsidP="0059353D">
      <w:pPr>
        <w:spacing w:after="0" w:line="480" w:lineRule="auto"/>
        <w:jc w:val="both"/>
        <w:rPr>
          <w:iCs/>
        </w:rPr>
      </w:pPr>
      <w:r>
        <w:rPr>
          <w:iCs/>
        </w:rPr>
        <w:t xml:space="preserve">Well-documented scientifically is the major transmission role </w:t>
      </w:r>
      <w:r w:rsidRPr="00340FEC">
        <w:rPr>
          <w:iCs/>
        </w:rPr>
        <w:t xml:space="preserve">children </w:t>
      </w:r>
      <w:r>
        <w:rPr>
          <w:iCs/>
        </w:rPr>
        <w:t xml:space="preserve">have had historically </w:t>
      </w:r>
      <w:r>
        <w:t xml:space="preserve">in the </w:t>
      </w:r>
      <w:r w:rsidRPr="00340FEC">
        <w:t xml:space="preserve">spread of respiratory infections – generally </w:t>
      </w:r>
      <w:r>
        <w:t>through their close interactions in</w:t>
      </w:r>
      <w:r w:rsidRPr="00340FEC">
        <w:t xml:space="preserve"> sch</w:t>
      </w:r>
      <w:r>
        <w:t>ools and child-care centres.</w:t>
      </w:r>
      <w:r w:rsidRPr="00340FEC">
        <w:t xml:space="preserve"> </w:t>
      </w:r>
      <w:r>
        <w:t xml:space="preserve">Moreover, children and teenagers </w:t>
      </w:r>
      <w:r w:rsidRPr="00340FEC">
        <w:rPr>
          <w:iCs/>
        </w:rPr>
        <w:t>aged 5</w:t>
      </w:r>
      <w:r>
        <w:rPr>
          <w:iCs/>
        </w:rPr>
        <w:softHyphen/>
        <w:t>–</w:t>
      </w:r>
      <w:r w:rsidRPr="00340FEC">
        <w:rPr>
          <w:iCs/>
        </w:rPr>
        <w:t xml:space="preserve">17 are considered to play the most </w:t>
      </w:r>
      <w:r w:rsidRPr="00340FEC">
        <w:rPr>
          <w:iCs/>
        </w:rPr>
        <w:lastRenderedPageBreak/>
        <w:t xml:space="preserve">important role in mass influenza A </w:t>
      </w:r>
      <w:r>
        <w:rPr>
          <w:iCs/>
        </w:rPr>
        <w:t>epidemics</w:t>
      </w:r>
      <w:r w:rsidR="00F639AE">
        <w:rPr>
          <w:iCs/>
        </w:rPr>
        <w:t>.</w:t>
      </w:r>
      <w:r w:rsidRPr="00F639AE">
        <w:rPr>
          <w:iCs/>
          <w:noProof/>
          <w:vertAlign w:val="superscript"/>
        </w:rPr>
        <w:t>2</w:t>
      </w:r>
      <w:r w:rsidRPr="00BF4FA1">
        <w:t xml:space="preserve"> </w:t>
      </w:r>
      <w:r w:rsidRPr="00340FEC">
        <w:rPr>
          <w:iCs/>
        </w:rPr>
        <w:t>Whil</w:t>
      </w:r>
      <w:r>
        <w:rPr>
          <w:iCs/>
        </w:rPr>
        <w:t>e</w:t>
      </w:r>
      <w:r w:rsidRPr="00340FEC">
        <w:rPr>
          <w:iCs/>
        </w:rPr>
        <w:t xml:space="preserve"> the </w:t>
      </w:r>
      <w:r>
        <w:rPr>
          <w:iCs/>
        </w:rPr>
        <w:t xml:space="preserve">lack of </w:t>
      </w:r>
      <w:r w:rsidRPr="00340FEC">
        <w:rPr>
          <w:iCs/>
        </w:rPr>
        <w:t xml:space="preserve">severity of COVID-19 in children </w:t>
      </w:r>
      <w:r>
        <w:rPr>
          <w:iCs/>
        </w:rPr>
        <w:t>contrasts</w:t>
      </w:r>
      <w:r w:rsidRPr="00340FEC">
        <w:rPr>
          <w:iCs/>
        </w:rPr>
        <w:t xml:space="preserve"> </w:t>
      </w:r>
      <w:r>
        <w:rPr>
          <w:iCs/>
        </w:rPr>
        <w:t xml:space="preserve">with </w:t>
      </w:r>
      <w:r w:rsidRPr="00340FEC">
        <w:rPr>
          <w:iCs/>
        </w:rPr>
        <w:t xml:space="preserve">that of other respiratory viruses </w:t>
      </w:r>
      <w:r>
        <w:rPr>
          <w:iCs/>
        </w:rPr>
        <w:t>such as</w:t>
      </w:r>
      <w:r w:rsidRPr="00340FEC">
        <w:rPr>
          <w:iCs/>
        </w:rPr>
        <w:t xml:space="preserve"> influe</w:t>
      </w:r>
      <w:r>
        <w:rPr>
          <w:iCs/>
        </w:rPr>
        <w:t>nza,</w:t>
      </w:r>
      <w:r w:rsidRPr="00340FEC">
        <w:rPr>
          <w:iCs/>
        </w:rPr>
        <w:t xml:space="preserve"> similarities in the mode of transmission s</w:t>
      </w:r>
      <w:r w:rsidRPr="00340FEC">
        <w:rPr>
          <w:lang w:val="en"/>
        </w:rPr>
        <w:t xml:space="preserve">till exist.  Recent studies </w:t>
      </w:r>
      <w:r>
        <w:rPr>
          <w:lang w:val="en"/>
        </w:rPr>
        <w:t>have demonstrated</w:t>
      </w:r>
      <w:r w:rsidRPr="00415A5F">
        <w:t xml:space="preserve"> </w:t>
      </w:r>
      <w:r w:rsidRPr="00415A5F">
        <w:rPr>
          <w:lang w:val="en"/>
        </w:rPr>
        <w:t>SARS-CoV-2</w:t>
      </w:r>
      <w:r>
        <w:rPr>
          <w:lang w:val="en"/>
        </w:rPr>
        <w:t xml:space="preserve"> does infect </w:t>
      </w:r>
      <w:r w:rsidRPr="00340FEC">
        <w:rPr>
          <w:lang w:val="en"/>
        </w:rPr>
        <w:t>children</w:t>
      </w:r>
      <w:r>
        <w:rPr>
          <w:lang w:val="en"/>
        </w:rPr>
        <w:t>;</w:t>
      </w:r>
      <w:r w:rsidRPr="00340FEC">
        <w:rPr>
          <w:lang w:val="en"/>
        </w:rPr>
        <w:t xml:space="preserve"> with about 50% of pediatric cases asymptomatic</w:t>
      </w:r>
      <w:r w:rsidR="00F639AE">
        <w:rPr>
          <w:lang w:val="en"/>
        </w:rPr>
        <w:t>.</w:t>
      </w:r>
      <w:r w:rsidRPr="00F639AE">
        <w:rPr>
          <w:vertAlign w:val="superscript"/>
          <w:lang w:val="en"/>
        </w:rPr>
        <w:t>1</w:t>
      </w:r>
      <w:r>
        <w:rPr>
          <w:lang w:val="en"/>
        </w:rPr>
        <w:t xml:space="preserve"> Consequently,</w:t>
      </w:r>
      <w:r w:rsidRPr="00340FEC">
        <w:rPr>
          <w:lang w:val="en"/>
        </w:rPr>
        <w:t xml:space="preserve"> they may </w:t>
      </w:r>
      <w:r>
        <w:rPr>
          <w:lang w:val="en"/>
        </w:rPr>
        <w:t xml:space="preserve">have an </w:t>
      </w:r>
      <w:r w:rsidRPr="00340FEC">
        <w:rPr>
          <w:lang w:val="en"/>
        </w:rPr>
        <w:t xml:space="preserve">important role in transmission and </w:t>
      </w:r>
      <w:r>
        <w:rPr>
          <w:lang w:val="en"/>
        </w:rPr>
        <w:t>could be</w:t>
      </w:r>
      <w:r w:rsidRPr="00340FEC">
        <w:rPr>
          <w:lang w:val="en"/>
        </w:rPr>
        <w:t xml:space="preserve"> “silent” </w:t>
      </w:r>
      <w:r>
        <w:rPr>
          <w:lang w:val="en"/>
        </w:rPr>
        <w:t>transmitters</w:t>
      </w:r>
      <w:r w:rsidRPr="00340FEC">
        <w:rPr>
          <w:lang w:val="en"/>
        </w:rPr>
        <w:t xml:space="preserve">. </w:t>
      </w:r>
      <w:r>
        <w:rPr>
          <w:lang w:val="en"/>
        </w:rPr>
        <w:t xml:space="preserve">Worryingly, </w:t>
      </w:r>
      <w:r w:rsidRPr="00340FEC">
        <w:t xml:space="preserve">in many countries it is common for </w:t>
      </w:r>
      <w:r>
        <w:t xml:space="preserve">young </w:t>
      </w:r>
      <w:r w:rsidRPr="00340FEC">
        <w:t>children to be cared for, or be in close contact with, elderly</w:t>
      </w:r>
      <w:r>
        <w:t xml:space="preserve"> people, for example,</w:t>
      </w:r>
      <w:r w:rsidRPr="00340FEC">
        <w:t xml:space="preserve"> </w:t>
      </w:r>
      <w:r>
        <w:t>grandparents</w:t>
      </w:r>
      <w:r w:rsidRPr="00BF4FA1">
        <w:t xml:space="preserve"> – the </w:t>
      </w:r>
      <w:r>
        <w:t xml:space="preserve">very age </w:t>
      </w:r>
      <w:r w:rsidRPr="00BF4FA1">
        <w:t xml:space="preserve">group most at risk of </w:t>
      </w:r>
      <w:r>
        <w:t xml:space="preserve">acquiring </w:t>
      </w:r>
      <w:r w:rsidRPr="00BF4FA1">
        <w:t xml:space="preserve">serious </w:t>
      </w:r>
      <w:r>
        <w:t xml:space="preserve">respiratory </w:t>
      </w:r>
      <w:r w:rsidRPr="00BF4FA1">
        <w:t xml:space="preserve">complications </w:t>
      </w:r>
      <w:r>
        <w:t>resulting in</w:t>
      </w:r>
      <w:r w:rsidRPr="00BF4FA1">
        <w:t xml:space="preserve"> death. </w:t>
      </w:r>
    </w:p>
    <w:p w:rsidR="006E57AB" w:rsidRPr="00340FEC" w:rsidRDefault="006E57AB" w:rsidP="0059353D">
      <w:pPr>
        <w:spacing w:after="0" w:line="480" w:lineRule="auto"/>
        <w:jc w:val="both"/>
        <w:rPr>
          <w:lang w:val="en-US"/>
        </w:rPr>
      </w:pPr>
    </w:p>
    <w:p w:rsidR="006E57AB" w:rsidRPr="00340FEC" w:rsidRDefault="006E57AB" w:rsidP="0059353D">
      <w:pPr>
        <w:spacing w:after="0" w:line="480" w:lineRule="auto"/>
        <w:jc w:val="both"/>
        <w:rPr>
          <w:lang w:val="en-US"/>
        </w:rPr>
      </w:pPr>
      <w:r w:rsidRPr="00340FEC">
        <w:t xml:space="preserve">In the absence of </w:t>
      </w:r>
      <w:r>
        <w:t xml:space="preserve">a </w:t>
      </w:r>
      <w:r w:rsidRPr="00340FEC">
        <w:t xml:space="preserve">vaccine </w:t>
      </w:r>
      <w:r>
        <w:t xml:space="preserve">or effective therapeutic </w:t>
      </w:r>
      <w:r w:rsidRPr="00340FEC">
        <w:t xml:space="preserve">drugs, preventive measures such as: </w:t>
      </w:r>
      <w:r>
        <w:t xml:space="preserve">good </w:t>
      </w:r>
      <w:r w:rsidRPr="00340FEC">
        <w:t xml:space="preserve">hygiene </w:t>
      </w:r>
      <w:r>
        <w:t xml:space="preserve">practices </w:t>
      </w:r>
      <w:r w:rsidRPr="00BF4FA1">
        <w:t>–</w:t>
      </w:r>
      <w:r>
        <w:t xml:space="preserve"> </w:t>
      </w:r>
      <w:r w:rsidRPr="00340FEC">
        <w:t xml:space="preserve">hand washing, </w:t>
      </w:r>
      <w:r w:rsidRPr="00AE49EC">
        <w:t>cough etiquette,</w:t>
      </w:r>
      <w:r w:rsidRPr="00AE49EC">
        <w:rPr>
          <w:rFonts w:ascii="Helvetica" w:hAnsi="Helvetica"/>
          <w:sz w:val="20"/>
          <w:szCs w:val="20"/>
        </w:rPr>
        <w:t xml:space="preserve"> </w:t>
      </w:r>
      <w:r w:rsidRPr="00340FEC">
        <w:t xml:space="preserve">disinfection of surfaces and social distancing represent </w:t>
      </w:r>
      <w:r>
        <w:t xml:space="preserve">the major </w:t>
      </w:r>
      <w:r w:rsidRPr="00340FEC">
        <w:t>weapons</w:t>
      </w:r>
      <w:r>
        <w:t xml:space="preserve"> against COVID-19</w:t>
      </w:r>
      <w:r w:rsidRPr="00BF4FA1">
        <w:rPr>
          <w:lang w:val="en-US"/>
        </w:rPr>
        <w:t xml:space="preserve">. The World Health Organization (WHO) states, </w:t>
      </w:r>
      <w:r w:rsidR="00F639AE">
        <w:rPr>
          <w:lang w:val="en-US"/>
        </w:rPr>
        <w:t>“</w:t>
      </w:r>
      <w:r w:rsidRPr="00340FEC">
        <w:rPr>
          <w:lang w:val="en-US"/>
        </w:rPr>
        <w:t xml:space="preserve">the best way to prevent and slow down transmission is to be well informed about </w:t>
      </w:r>
      <w:r w:rsidRPr="00415A5F">
        <w:rPr>
          <w:lang w:val="en"/>
        </w:rPr>
        <w:t>SARS-CoV-2</w:t>
      </w:r>
      <w:r w:rsidRPr="00340FEC">
        <w:rPr>
          <w:lang w:val="en-US"/>
        </w:rPr>
        <w:t>, the disease it causes and how it spreads”</w:t>
      </w:r>
      <w:r>
        <w:rPr>
          <w:lang w:val="en-US"/>
        </w:rPr>
        <w:t>.</w:t>
      </w:r>
      <w:r w:rsidRPr="00BF4FA1">
        <w:rPr>
          <w:lang w:val="en-US"/>
        </w:rPr>
        <w:t xml:space="preserve"> </w:t>
      </w:r>
      <w:r>
        <w:rPr>
          <w:lang w:val="en-US"/>
        </w:rPr>
        <w:t xml:space="preserve">We have seen that health and hygiene campaigns, which reinforce consistent messaging and persuade people to alter their habits, are effective in reducing infection rates.  </w:t>
      </w:r>
      <w:r w:rsidRPr="00340FEC">
        <w:t>To date</w:t>
      </w:r>
      <w:r>
        <w:t>, however,</w:t>
      </w:r>
      <w:r w:rsidRPr="00340FEC">
        <w:t xml:space="preserve"> most of the </w:t>
      </w:r>
      <w:r w:rsidRPr="00AE49EC">
        <w:t>messaging has targeted the general population</w:t>
      </w:r>
      <w:r w:rsidRPr="00340FEC">
        <w:t xml:space="preserve"> – not children specifically. </w:t>
      </w:r>
      <w:r>
        <w:t>Children are able to copy parent behaviour, but are not equipped with a true understanding of why they are being asked to make changes, potentially resulting in confusion, fear and lapses in hygiene or social protocols. D</w:t>
      </w:r>
      <w:r w:rsidRPr="00340FEC">
        <w:t>evelop</w:t>
      </w:r>
      <w:r>
        <w:t>ment of</w:t>
      </w:r>
      <w:r w:rsidRPr="00340FEC">
        <w:t xml:space="preserve"> </w:t>
      </w:r>
      <w:r>
        <w:t xml:space="preserve">an </w:t>
      </w:r>
      <w:r w:rsidRPr="00340FEC">
        <w:t xml:space="preserve">appropriate and engaging hygiene and social distancing education </w:t>
      </w:r>
      <w:r>
        <w:t xml:space="preserve">campaign targeting </w:t>
      </w:r>
      <w:r w:rsidRPr="00340FEC">
        <w:t>children</w:t>
      </w:r>
      <w:r>
        <w:t xml:space="preserve"> is urgently needed in order to reinforce adult messages appropriately and maximise child compliance</w:t>
      </w:r>
      <w:r w:rsidRPr="00340FEC">
        <w:t xml:space="preserve">. </w:t>
      </w:r>
      <w:r>
        <w:rPr>
          <w:lang w:val="en-US"/>
        </w:rPr>
        <w:t xml:space="preserve">Accordingly, </w:t>
      </w:r>
      <w:r w:rsidRPr="00340FEC">
        <w:rPr>
          <w:lang w:val="en-US"/>
        </w:rPr>
        <w:t xml:space="preserve">we </w:t>
      </w:r>
      <w:r>
        <w:rPr>
          <w:lang w:val="en-US"/>
        </w:rPr>
        <w:t xml:space="preserve">provide an overview of </w:t>
      </w:r>
      <w:r w:rsidRPr="00340FEC">
        <w:rPr>
          <w:lang w:val="en-US"/>
        </w:rPr>
        <w:t xml:space="preserve">COVID-19-related health education/promotion messaging currently available, and posit the way forward for </w:t>
      </w:r>
      <w:r>
        <w:rPr>
          <w:lang w:val="en-US"/>
        </w:rPr>
        <w:t xml:space="preserve">engaging </w:t>
      </w:r>
      <w:r w:rsidRPr="00340FEC">
        <w:rPr>
          <w:lang w:val="en-US"/>
        </w:rPr>
        <w:t>schoolchildren</w:t>
      </w:r>
      <w:r>
        <w:rPr>
          <w:lang w:val="en-US"/>
        </w:rPr>
        <w:t>.</w:t>
      </w:r>
      <w:r w:rsidRPr="00340FEC">
        <w:rPr>
          <w:lang w:val="en-US"/>
        </w:rPr>
        <w:t xml:space="preserve"> </w:t>
      </w:r>
    </w:p>
    <w:p w:rsidR="006E57AB" w:rsidRPr="00340FEC" w:rsidRDefault="006E57AB" w:rsidP="0059353D">
      <w:pPr>
        <w:spacing w:after="0" w:line="480" w:lineRule="auto"/>
        <w:jc w:val="both"/>
        <w:rPr>
          <w:lang w:val="en-US"/>
        </w:rPr>
      </w:pPr>
    </w:p>
    <w:p w:rsidR="006E57AB" w:rsidRDefault="006E57AB" w:rsidP="0059353D">
      <w:pPr>
        <w:spacing w:after="0" w:line="480" w:lineRule="auto"/>
        <w:jc w:val="both"/>
        <w:rPr>
          <w:bCs/>
          <w:lang w:val="en-US"/>
        </w:rPr>
      </w:pPr>
      <w:r w:rsidRPr="00340FEC">
        <w:rPr>
          <w:bCs/>
          <w:lang w:val="en-US"/>
        </w:rPr>
        <w:lastRenderedPageBreak/>
        <w:t xml:space="preserve">The WHO is the main international body </w:t>
      </w:r>
      <w:r>
        <w:rPr>
          <w:bCs/>
          <w:lang w:val="en-US"/>
        </w:rPr>
        <w:t xml:space="preserve">providing </w:t>
      </w:r>
      <w:r w:rsidRPr="00340FEC">
        <w:rPr>
          <w:bCs/>
          <w:lang w:val="en-US"/>
        </w:rPr>
        <w:t xml:space="preserve">information to the public, health sector, and governments. Messaging </w:t>
      </w:r>
      <w:r>
        <w:rPr>
          <w:bCs/>
          <w:lang w:val="en-US"/>
        </w:rPr>
        <w:t xml:space="preserve">around Covid-19 </w:t>
      </w:r>
      <w:r w:rsidRPr="00340FEC">
        <w:rPr>
          <w:bCs/>
          <w:lang w:val="en-US"/>
        </w:rPr>
        <w:t>for the public incorporates: global situation updates; information on transmission</w:t>
      </w:r>
      <w:r>
        <w:rPr>
          <w:bCs/>
          <w:lang w:val="en-US"/>
        </w:rPr>
        <w:t>;</w:t>
      </w:r>
      <w:r w:rsidRPr="00340FEC">
        <w:rPr>
          <w:bCs/>
          <w:lang w:val="en-US"/>
        </w:rPr>
        <w:t xml:space="preserve"> signs and symptoms</w:t>
      </w:r>
      <w:r>
        <w:rPr>
          <w:bCs/>
          <w:lang w:val="en-US"/>
        </w:rPr>
        <w:t xml:space="preserve"> of infection</w:t>
      </w:r>
      <w:r w:rsidRPr="00340FEC">
        <w:rPr>
          <w:bCs/>
          <w:lang w:val="en-US"/>
        </w:rPr>
        <w:t>; prevention and control practices (i.e. good hygiene and physical distancing); and specific information for pregnant women and trave</w:t>
      </w:r>
      <w:r>
        <w:rPr>
          <w:bCs/>
          <w:lang w:val="en-US"/>
        </w:rPr>
        <w:t>l</w:t>
      </w:r>
      <w:r w:rsidRPr="00340FEC">
        <w:rPr>
          <w:bCs/>
          <w:lang w:val="en-US"/>
        </w:rPr>
        <w:t>ers, or those recently visiting or returning from hot spot areas</w:t>
      </w:r>
      <w:r w:rsidRPr="00BF4FA1">
        <w:rPr>
          <w:bCs/>
          <w:lang w:val="en-US"/>
        </w:rPr>
        <w:t xml:space="preserve">. </w:t>
      </w:r>
      <w:r w:rsidRPr="00340FEC">
        <w:rPr>
          <w:bCs/>
          <w:lang w:val="en-US"/>
        </w:rPr>
        <w:t xml:space="preserve">Resources for the media also explain how to relay messages regarding prevention measures. </w:t>
      </w:r>
      <w:r>
        <w:rPr>
          <w:bCs/>
          <w:lang w:val="en-US"/>
        </w:rPr>
        <w:t>Delivery of these m</w:t>
      </w:r>
      <w:r w:rsidRPr="00340FEC">
        <w:rPr>
          <w:bCs/>
          <w:lang w:val="en-US"/>
        </w:rPr>
        <w:t xml:space="preserve">essages </w:t>
      </w:r>
      <w:r>
        <w:rPr>
          <w:bCs/>
          <w:lang w:val="en-US"/>
        </w:rPr>
        <w:t xml:space="preserve">uses </w:t>
      </w:r>
      <w:r w:rsidRPr="00340FEC">
        <w:rPr>
          <w:bCs/>
          <w:lang w:val="en-US"/>
        </w:rPr>
        <w:t>a variety of formats including information sheets, videos and infographics. These are available on the WHO website and their</w:t>
      </w:r>
      <w:r>
        <w:rPr>
          <w:bCs/>
          <w:lang w:val="en-US"/>
        </w:rPr>
        <w:t xml:space="preserve"> social media platforms. </w:t>
      </w:r>
      <w:r w:rsidRPr="00340FEC">
        <w:rPr>
          <w:bCs/>
          <w:lang w:val="en-US"/>
        </w:rPr>
        <w:t>Advice is provided for parents on communicating with children about COVID-19</w:t>
      </w:r>
      <w:r>
        <w:rPr>
          <w:bCs/>
          <w:lang w:val="en-US"/>
        </w:rPr>
        <w:t>.  S</w:t>
      </w:r>
      <w:r w:rsidRPr="00340FEC">
        <w:rPr>
          <w:bCs/>
          <w:lang w:val="en-US"/>
        </w:rPr>
        <w:t xml:space="preserve">ome materials are available </w:t>
      </w:r>
      <w:r>
        <w:rPr>
          <w:bCs/>
          <w:lang w:val="en-US"/>
        </w:rPr>
        <w:t xml:space="preserve">for </w:t>
      </w:r>
      <w:r w:rsidRPr="00340FEC">
        <w:rPr>
          <w:bCs/>
          <w:lang w:val="en-US"/>
        </w:rPr>
        <w:t xml:space="preserve">schools on age-appropriate health education regarding the virus and </w:t>
      </w:r>
      <w:r>
        <w:rPr>
          <w:bCs/>
          <w:lang w:val="en-US"/>
        </w:rPr>
        <w:t xml:space="preserve">the </w:t>
      </w:r>
      <w:r w:rsidRPr="00340FEC">
        <w:rPr>
          <w:bCs/>
          <w:lang w:val="en-US"/>
        </w:rPr>
        <w:t>associated disease</w:t>
      </w:r>
      <w:r w:rsidRPr="00BF4FA1">
        <w:rPr>
          <w:bCs/>
          <w:lang w:val="en-US"/>
        </w:rPr>
        <w:t xml:space="preserve"> </w:t>
      </w:r>
      <w:r w:rsidRPr="00AD18A6">
        <w:rPr>
          <w:bCs/>
          <w:lang w:val="en-US"/>
        </w:rPr>
        <w:t xml:space="preserve">but messages specifically targeting children are lacking and have caused confusion and anxiety for those too young to engage with the current campaigns. </w:t>
      </w:r>
    </w:p>
    <w:p w:rsidR="006E57AB" w:rsidRPr="00340FEC" w:rsidRDefault="006E57AB" w:rsidP="0059353D">
      <w:pPr>
        <w:spacing w:after="0" w:line="480" w:lineRule="auto"/>
        <w:jc w:val="both"/>
        <w:rPr>
          <w:rFonts w:eastAsia="Times New Roman"/>
          <w:color w:val="0563C1"/>
          <w:u w:val="single"/>
          <w:lang w:eastAsia="en-AU" w:bidi="th-TH"/>
        </w:rPr>
      </w:pPr>
    </w:p>
    <w:p w:rsidR="006E57AB" w:rsidRDefault="006E57AB" w:rsidP="0059353D">
      <w:pPr>
        <w:spacing w:after="0" w:line="480" w:lineRule="auto"/>
        <w:jc w:val="both"/>
      </w:pPr>
      <w:r>
        <w:rPr>
          <w:bCs/>
          <w:lang w:val="en-US"/>
        </w:rPr>
        <w:t>Messages s</w:t>
      </w:r>
      <w:r w:rsidRPr="00BF4FA1">
        <w:rPr>
          <w:bCs/>
          <w:lang w:val="en-US"/>
        </w:rPr>
        <w:t xml:space="preserve">imilar to those </w:t>
      </w:r>
      <w:r>
        <w:rPr>
          <w:bCs/>
          <w:lang w:val="en-US"/>
        </w:rPr>
        <w:t xml:space="preserve">provided </w:t>
      </w:r>
      <w:r w:rsidRPr="00BF4FA1">
        <w:rPr>
          <w:bCs/>
          <w:lang w:val="en-US"/>
        </w:rPr>
        <w:t>by WHO, but with a local context, have been disseminated by t</w:t>
      </w:r>
      <w:r w:rsidRPr="00340FEC">
        <w:rPr>
          <w:bCs/>
          <w:lang w:val="en-US"/>
        </w:rPr>
        <w:t>he United States Centers for Disease Control (US CDC)</w:t>
      </w:r>
      <w:r>
        <w:rPr>
          <w:bCs/>
          <w:lang w:val="en-US"/>
        </w:rPr>
        <w:t>,</w:t>
      </w:r>
      <w:r w:rsidRPr="00340FEC">
        <w:rPr>
          <w:bCs/>
          <w:lang w:val="en-US"/>
        </w:rPr>
        <w:t xml:space="preserve"> </w:t>
      </w:r>
      <w:r>
        <w:rPr>
          <w:bCs/>
          <w:lang w:val="en-US"/>
        </w:rPr>
        <w:t>which</w:t>
      </w:r>
      <w:r w:rsidRPr="00340FEC">
        <w:rPr>
          <w:bCs/>
          <w:lang w:val="en-US"/>
        </w:rPr>
        <w:t xml:space="preserve"> has a series of </w:t>
      </w:r>
      <w:r>
        <w:rPr>
          <w:bCs/>
          <w:lang w:val="en-US"/>
        </w:rPr>
        <w:t xml:space="preserve">COVID-19 </w:t>
      </w:r>
      <w:r w:rsidRPr="00340FEC">
        <w:rPr>
          <w:bCs/>
          <w:lang w:val="en-US"/>
        </w:rPr>
        <w:t>educational videos</w:t>
      </w:r>
      <w:r>
        <w:rPr>
          <w:bCs/>
          <w:lang w:val="en-US"/>
        </w:rPr>
        <w:t xml:space="preserve"> available on their website</w:t>
      </w:r>
      <w:r w:rsidRPr="00BF4FA1">
        <w:rPr>
          <w:bCs/>
          <w:lang w:val="en-US"/>
        </w:rPr>
        <w:t xml:space="preserve"> and on YouTube.</w:t>
      </w:r>
      <w:r>
        <w:rPr>
          <w:bCs/>
          <w:lang w:val="en-US"/>
        </w:rPr>
        <w:t xml:space="preserve"> </w:t>
      </w:r>
      <w:r w:rsidRPr="00340FEC">
        <w:rPr>
          <w:bCs/>
          <w:lang w:val="en-US"/>
        </w:rPr>
        <w:t>In countries</w:t>
      </w:r>
      <w:r>
        <w:rPr>
          <w:bCs/>
          <w:lang w:val="en-US"/>
        </w:rPr>
        <w:t xml:space="preserve"> outside the USA</w:t>
      </w:r>
      <w:r w:rsidRPr="00340FEC">
        <w:rPr>
          <w:bCs/>
          <w:lang w:val="en-US"/>
        </w:rPr>
        <w:t xml:space="preserve">, </w:t>
      </w:r>
      <w:r>
        <w:rPr>
          <w:bCs/>
          <w:lang w:val="en-US"/>
        </w:rPr>
        <w:t>d</w:t>
      </w:r>
      <w:r w:rsidRPr="00340FEC">
        <w:rPr>
          <w:bCs/>
          <w:lang w:val="en-US"/>
        </w:rPr>
        <w:t xml:space="preserve">epartments and </w:t>
      </w:r>
      <w:r>
        <w:rPr>
          <w:bCs/>
          <w:lang w:val="en-US"/>
        </w:rPr>
        <w:t>m</w:t>
      </w:r>
      <w:r w:rsidRPr="00340FEC">
        <w:rPr>
          <w:bCs/>
          <w:lang w:val="en-US"/>
        </w:rPr>
        <w:t xml:space="preserve">inistries of </w:t>
      </w:r>
      <w:r>
        <w:rPr>
          <w:bCs/>
          <w:lang w:val="en-US"/>
        </w:rPr>
        <w:t>h</w:t>
      </w:r>
      <w:r w:rsidRPr="00340FEC">
        <w:rPr>
          <w:bCs/>
          <w:lang w:val="en-US"/>
        </w:rPr>
        <w:t>ealth</w:t>
      </w:r>
      <w:r>
        <w:rPr>
          <w:bCs/>
          <w:lang w:val="en-US"/>
        </w:rPr>
        <w:t xml:space="preserve"> </w:t>
      </w:r>
      <w:r w:rsidRPr="00340FEC">
        <w:rPr>
          <w:bCs/>
          <w:lang w:val="en-US"/>
        </w:rPr>
        <w:t xml:space="preserve">have also released similar </w:t>
      </w:r>
      <w:r>
        <w:rPr>
          <w:bCs/>
          <w:lang w:val="en-US"/>
        </w:rPr>
        <w:t>messaging campaigns in print and multimedia formats via mass media channels and social media platforms</w:t>
      </w:r>
      <w:r w:rsidRPr="00340FEC">
        <w:t xml:space="preserve">. Specific resources </w:t>
      </w:r>
      <w:r>
        <w:t>are</w:t>
      </w:r>
      <w:r w:rsidRPr="00340FEC">
        <w:t xml:space="preserve"> available for health professionals, including aged care providers, pathology providers and health care managers</w:t>
      </w:r>
      <w:r>
        <w:t>; and</w:t>
      </w:r>
      <w:r w:rsidRPr="00BF4FA1">
        <w:t xml:space="preserve"> </w:t>
      </w:r>
      <w:r>
        <w:t xml:space="preserve">while there is a smattering of messages targeting young children – mainly via YouTube – there is a serious deficiency of appropriate specific resources systematically embedded in schools to provide consistent messaging for children worldwide.   </w:t>
      </w:r>
    </w:p>
    <w:p w:rsidR="006E57AB" w:rsidRDefault="006E57AB" w:rsidP="0059353D">
      <w:pPr>
        <w:spacing w:after="0" w:line="480" w:lineRule="auto"/>
        <w:jc w:val="both"/>
        <w:rPr>
          <w:b/>
          <w:bCs/>
          <w:iCs/>
        </w:rPr>
      </w:pPr>
    </w:p>
    <w:p w:rsidR="006E57AB" w:rsidRDefault="006E57AB" w:rsidP="0059353D">
      <w:pPr>
        <w:spacing w:after="0" w:line="480" w:lineRule="auto"/>
        <w:jc w:val="both"/>
      </w:pPr>
      <w:r w:rsidRPr="00340FEC">
        <w:lastRenderedPageBreak/>
        <w:t>Health messages that are positive, engaging, entertaining</w:t>
      </w:r>
      <w:r>
        <w:t>, fun</w:t>
      </w:r>
      <w:r w:rsidRPr="00340FEC">
        <w:t xml:space="preserve"> and </w:t>
      </w:r>
      <w:r w:rsidRPr="006F68DC">
        <w:t>humorous</w:t>
      </w:r>
      <w:r w:rsidRPr="00340FEC">
        <w:t>, whil</w:t>
      </w:r>
      <w:r>
        <w:t xml:space="preserve">e providing accurate </w:t>
      </w:r>
      <w:r w:rsidRPr="00340FEC">
        <w:t>age</w:t>
      </w:r>
      <w:r>
        <w:t>-</w:t>
      </w:r>
      <w:r w:rsidRPr="00340FEC">
        <w:t xml:space="preserve">appropriate </w:t>
      </w:r>
      <w:r>
        <w:t>understanding</w:t>
      </w:r>
      <w:r w:rsidRPr="00340FEC">
        <w:t xml:space="preserve"> are important </w:t>
      </w:r>
      <w:r w:rsidRPr="006F68DC">
        <w:t xml:space="preserve">features </w:t>
      </w:r>
      <w:r w:rsidRPr="00340FEC">
        <w:t xml:space="preserve">when targeting schoolchildren. The value of a moving image in health education was highlighted as early as 1988 </w:t>
      </w:r>
      <w:r>
        <w:t>in</w:t>
      </w:r>
      <w:r w:rsidRPr="00340FEC">
        <w:t xml:space="preserve"> a manual published by the W</w:t>
      </w:r>
      <w:r>
        <w:t>HO</w:t>
      </w:r>
      <w:r w:rsidR="00F639AE">
        <w:t>,</w:t>
      </w:r>
      <w:r w:rsidRPr="00F639AE">
        <w:rPr>
          <w:vertAlign w:val="superscript"/>
        </w:rPr>
        <w:t>3</w:t>
      </w:r>
      <w:r w:rsidRPr="00BF4FA1">
        <w:t xml:space="preserve"> which pointed out that no other media, creates such lively interest as television. Television programs such as Sesame Street, Between the Lions,</w:t>
      </w:r>
      <w:r w:rsidRPr="00340FEC">
        <w:t xml:space="preserve"> and Blue’s Clues</w:t>
      </w:r>
      <w:r w:rsidRPr="00BF4FA1">
        <w:t xml:space="preserve"> </w:t>
      </w:r>
      <w:r>
        <w:t xml:space="preserve">have contributed to reinforcing </w:t>
      </w:r>
      <w:r w:rsidRPr="00BF4FA1">
        <w:t xml:space="preserve">positive </w:t>
      </w:r>
      <w:r>
        <w:t xml:space="preserve">influences in the </w:t>
      </w:r>
      <w:r w:rsidRPr="00BF4FA1">
        <w:t>cognitive development of young children.</w:t>
      </w:r>
      <w:r w:rsidRPr="00340FEC">
        <w:t xml:space="preserve"> Cartoons also have a long history of popular</w:t>
      </w:r>
      <w:r>
        <w:t>ity</w:t>
      </w:r>
      <w:r w:rsidRPr="00340FEC">
        <w:t xml:space="preserve"> with children – hig</w:t>
      </w:r>
      <w:r>
        <w:t>hlighted by the Disney and Warner Brothers</w:t>
      </w:r>
      <w:r w:rsidRPr="00340FEC">
        <w:t xml:space="preserve"> franchises – and </w:t>
      </w:r>
      <w:r w:rsidRPr="006F68DC">
        <w:t xml:space="preserve">are </w:t>
      </w:r>
      <w:r w:rsidRPr="00340FEC">
        <w:t xml:space="preserve">used </w:t>
      </w:r>
      <w:r>
        <w:t xml:space="preserve">to reinforce </w:t>
      </w:r>
      <w:r w:rsidRPr="00340FEC">
        <w:t>learning</w:t>
      </w:r>
      <w:r>
        <w:t xml:space="preserve"> and interaction</w:t>
      </w:r>
      <w:r w:rsidRPr="00340FEC">
        <w:t>. As such</w:t>
      </w:r>
      <w:r>
        <w:t>,</w:t>
      </w:r>
      <w:r w:rsidRPr="00340FEC">
        <w:t xml:space="preserve"> this </w:t>
      </w:r>
      <w:r>
        <w:t>e</w:t>
      </w:r>
      <w:r w:rsidRPr="00340FEC">
        <w:t>ntertainment-</w:t>
      </w:r>
      <w:r>
        <w:t>e</w:t>
      </w:r>
      <w:r w:rsidRPr="00340FEC">
        <w:t xml:space="preserve">ducation approach has </w:t>
      </w:r>
      <w:r w:rsidRPr="00A73AB4">
        <w:t>provided a highly effective forum for health education interventions targeting schoolchildren. Videos/cartoons have proven to be of great value</w:t>
      </w:r>
      <w:r w:rsidR="00F639AE">
        <w:t>.</w:t>
      </w:r>
      <w:r w:rsidRPr="00F639AE">
        <w:rPr>
          <w:vertAlign w:val="superscript"/>
        </w:rPr>
        <w:t>4</w:t>
      </w:r>
      <w:r w:rsidRPr="00A73AB4">
        <w:t xml:space="preserve"> Compared to text-based teaching </w:t>
      </w:r>
      <w:r>
        <w:t>v</w:t>
      </w:r>
      <w:r w:rsidRPr="00A73AB4">
        <w:t xml:space="preserve">ideos/cartoons </w:t>
      </w:r>
      <w:r w:rsidRPr="00BF4FA1">
        <w:t xml:space="preserve">can </w:t>
      </w:r>
      <w:r>
        <w:t xml:space="preserve">reinforce desired </w:t>
      </w:r>
      <w:r w:rsidRPr="00BF4FA1">
        <w:t>behavio</w:t>
      </w:r>
      <w:r w:rsidRPr="00340FEC">
        <w:t xml:space="preserve">ur for </w:t>
      </w:r>
      <w:r>
        <w:t>children</w:t>
      </w:r>
      <w:r w:rsidRPr="00340FEC">
        <w:t xml:space="preserve"> </w:t>
      </w:r>
      <w:r>
        <w:t xml:space="preserve">as </w:t>
      </w:r>
      <w:r w:rsidRPr="00340FEC">
        <w:t>they learn through direct observation</w:t>
      </w:r>
      <w:r>
        <w:t xml:space="preserve">, a critical element in </w:t>
      </w:r>
      <w:r w:rsidRPr="00340FEC">
        <w:t>behaviour</w:t>
      </w:r>
      <w:r w:rsidR="00F639AE">
        <w:t>.</w:t>
      </w:r>
      <w:r w:rsidR="00F639AE" w:rsidRPr="00F639AE">
        <w:rPr>
          <w:vertAlign w:val="superscript"/>
        </w:rPr>
        <w:t>4</w:t>
      </w:r>
    </w:p>
    <w:p w:rsidR="006E57AB" w:rsidRPr="00340FEC" w:rsidRDefault="006E57AB" w:rsidP="0059353D">
      <w:pPr>
        <w:spacing w:after="0" w:line="480" w:lineRule="auto"/>
        <w:jc w:val="both"/>
      </w:pPr>
    </w:p>
    <w:p w:rsidR="006E57AB" w:rsidRPr="00E03BD2" w:rsidRDefault="006E57AB" w:rsidP="0059353D">
      <w:pPr>
        <w:spacing w:after="0" w:line="480" w:lineRule="auto"/>
        <w:jc w:val="both"/>
      </w:pPr>
      <w:r w:rsidRPr="00340FEC">
        <w:t>With the urgent need to develop specific COVID-19 prevention messag</w:t>
      </w:r>
      <w:r>
        <w:t>es for</w:t>
      </w:r>
      <w:r w:rsidRPr="00340FEC">
        <w:t xml:space="preserve"> schoolchildren </w:t>
      </w:r>
      <w:r>
        <w:t xml:space="preserve">it is logical to develop </w:t>
      </w:r>
      <w:r w:rsidRPr="00340FEC">
        <w:t xml:space="preserve">a cartoon video-based </w:t>
      </w:r>
      <w:r>
        <w:t>e</w:t>
      </w:r>
      <w:r w:rsidRPr="00340FEC">
        <w:t xml:space="preserve">ntertainment </w:t>
      </w:r>
      <w:r>
        <w:t>e</w:t>
      </w:r>
      <w:r w:rsidRPr="00340FEC">
        <w:t xml:space="preserve">ducation approach particularly with regards to visualising </w:t>
      </w:r>
      <w:r w:rsidRPr="006F68DC">
        <w:t xml:space="preserve">correct hand washing procedures </w:t>
      </w:r>
      <w:r w:rsidRPr="00340FEC">
        <w:t xml:space="preserve">and the social distancing concept. </w:t>
      </w:r>
      <w:r>
        <w:t xml:space="preserve">One highly successful and </w:t>
      </w:r>
      <w:r w:rsidRPr="004F548D">
        <w:t>proven intervention is</w:t>
      </w:r>
      <w:r w:rsidRPr="004F548D">
        <w:rPr>
          <w:b/>
          <w:i/>
        </w:rPr>
        <w:t xml:space="preserve"> </w:t>
      </w:r>
      <w:r w:rsidRPr="00AA4ED9">
        <w:t>“The Magic Glasses”,</w:t>
      </w:r>
      <w:r w:rsidRPr="006F68DC">
        <w:t xml:space="preserve"> an </w:t>
      </w:r>
      <w:r>
        <w:t>inexpensive</w:t>
      </w:r>
      <w:r w:rsidRPr="004F548D">
        <w:t xml:space="preserve">, successful and engaging 12-minute cartoon-based hygiene education </w:t>
      </w:r>
      <w:r>
        <w:t xml:space="preserve">intervention </w:t>
      </w:r>
      <w:r w:rsidRPr="00FB65F2">
        <w:rPr>
          <w:lang w:val="en"/>
        </w:rPr>
        <w:t>(</w:t>
      </w:r>
      <w:r>
        <w:rPr>
          <w:color w:val="4D4D4D"/>
          <w:lang w:val="en"/>
        </w:rPr>
        <w:t xml:space="preserve">The cartoon can be accessed at </w:t>
      </w:r>
      <w:hyperlink r:id="rId8" w:history="1">
        <w:r w:rsidRPr="00AA4ED9">
          <w:rPr>
            <w:rStyle w:val="Hyperlink"/>
            <w:lang w:val="en"/>
          </w:rPr>
          <w:t>https://www.nejm.org/doi/full/10.1056/nejmoa1204885</w:t>
        </w:r>
      </w:hyperlink>
      <w:r w:rsidRPr="00AA4ED9">
        <w:rPr>
          <w:color w:val="4D4D4D"/>
          <w:lang w:val="en"/>
        </w:rPr>
        <w:t xml:space="preserve"> and the front cover is shown in </w:t>
      </w:r>
      <w:r w:rsidRPr="00AA4ED9">
        <w:rPr>
          <w:rStyle w:val="Hyperlink"/>
          <w:lang w:val="en"/>
        </w:rPr>
        <w:t>Figure 1</w:t>
      </w:r>
      <w:r w:rsidRPr="00AA4ED9">
        <w:rPr>
          <w:lang w:val="en"/>
        </w:rPr>
        <w:t>)</w:t>
      </w:r>
      <w:r w:rsidRPr="00AA4ED9">
        <w:t>. The focus of the intervention is to visually</w:t>
      </w:r>
      <w:r>
        <w:t xml:space="preserve"> </w:t>
      </w:r>
      <w:r w:rsidRPr="00FB65F2">
        <w:rPr>
          <w:lang w:val="en"/>
        </w:rPr>
        <w:t xml:space="preserve">inform children about the transmission and prevention of soil-transmitted helminths; </w:t>
      </w:r>
      <w:r w:rsidRPr="004F548D">
        <w:t>it has been rigorously tested with success in China</w:t>
      </w:r>
      <w:r w:rsidR="00F639AE">
        <w:t>,</w:t>
      </w:r>
      <w:r w:rsidRPr="00F639AE">
        <w:rPr>
          <w:noProof/>
          <w:vertAlign w:val="superscript"/>
        </w:rPr>
        <w:t>5</w:t>
      </w:r>
      <w:r w:rsidRPr="004F548D">
        <w:t xml:space="preserve"> successfully adapted to the Philippines and Vietnamese </w:t>
      </w:r>
      <w:r w:rsidRPr="00E03BD2">
        <w:t xml:space="preserve">contexts; and is currently being developed for the Lower Mekong Region including its adaptation to carcinogenic liver fluke infections.    </w:t>
      </w:r>
    </w:p>
    <w:p w:rsidR="006E57AB" w:rsidRDefault="006E57AB" w:rsidP="0059353D">
      <w:pPr>
        <w:spacing w:after="0" w:line="480" w:lineRule="auto"/>
        <w:jc w:val="both"/>
      </w:pPr>
    </w:p>
    <w:p w:rsidR="006E57AB" w:rsidRDefault="006E57AB" w:rsidP="0059353D">
      <w:pPr>
        <w:spacing w:after="0" w:line="480" w:lineRule="auto"/>
        <w:jc w:val="both"/>
        <w:rPr>
          <w:b/>
          <w:i/>
        </w:rPr>
      </w:pPr>
      <w:r w:rsidRPr="00BF4FA1">
        <w:lastRenderedPageBreak/>
        <w:t>The cartoon concept</w:t>
      </w:r>
      <w:r>
        <w:t xml:space="preserve"> enables children to identify with characters to visualise the </w:t>
      </w:r>
      <w:r w:rsidRPr="00A73AB4">
        <w:t xml:space="preserve">intestinal parasitic worms </w:t>
      </w:r>
      <w:r>
        <w:t xml:space="preserve">and their eggs in people and the environment to reinforce the importance of good hygiene and associated health behaviours. This is directly applicable to the </w:t>
      </w:r>
      <w:r>
        <w:rPr>
          <w:lang w:val="en"/>
        </w:rPr>
        <w:t>transmission dynamics of</w:t>
      </w:r>
      <w:r w:rsidRPr="00DE5AC1">
        <w:rPr>
          <w:lang w:val="en"/>
        </w:rPr>
        <w:t xml:space="preserve"> SARS-CoV-2</w:t>
      </w:r>
      <w:r>
        <w:rPr>
          <w:lang w:val="en"/>
        </w:rPr>
        <w:t xml:space="preserve">; </w:t>
      </w:r>
      <w:r w:rsidRPr="00BF4FA1">
        <w:t xml:space="preserve">and </w:t>
      </w:r>
      <w:r>
        <w:t xml:space="preserve">the associated </w:t>
      </w:r>
      <w:r w:rsidRPr="00BF4FA1">
        <w:t>messages</w:t>
      </w:r>
      <w:r>
        <w:t xml:space="preserve"> for prevention. </w:t>
      </w:r>
      <w:r w:rsidRPr="00BF4FA1">
        <w:t xml:space="preserve">Key messages </w:t>
      </w:r>
      <w:r>
        <w:t xml:space="preserve">of such an </w:t>
      </w:r>
      <w:r w:rsidRPr="00155958">
        <w:t>intervention could include hand washing, care in coughing and sneezing, tissue use and disposal, physical distancing (which particularly lends itself to visual display) and what to do when feeling unwell. I</w:t>
      </w:r>
      <w:r>
        <w:t>t also reinforces how the virus behaves to assist children’s understanding and allay fear.</w:t>
      </w:r>
      <w:r w:rsidRPr="00BF4FA1">
        <w:t xml:space="preserve">  </w:t>
      </w:r>
      <w:r>
        <w:t>R</w:t>
      </w:r>
      <w:r w:rsidRPr="00BF4FA1">
        <w:t>eadily</w:t>
      </w:r>
      <w:r>
        <w:t xml:space="preserve"> available for systematic delivery in schools and for parents, the cartoon would be accessible via mainstream media </w:t>
      </w:r>
      <w:r w:rsidRPr="00BF4FA1">
        <w:t xml:space="preserve">and social media platforms. The cartoon </w:t>
      </w:r>
      <w:r>
        <w:t>would also</w:t>
      </w:r>
      <w:r w:rsidRPr="00BF4FA1">
        <w:t xml:space="preserve"> be applicable for television broadcast. </w:t>
      </w:r>
    </w:p>
    <w:p w:rsidR="006E57AB" w:rsidRPr="00042BAE" w:rsidRDefault="006E57AB" w:rsidP="0059353D">
      <w:pPr>
        <w:spacing w:after="0" w:line="480" w:lineRule="auto"/>
        <w:jc w:val="both"/>
        <w:rPr>
          <w:b/>
          <w:i/>
        </w:rPr>
      </w:pPr>
    </w:p>
    <w:p w:rsidR="006E57AB" w:rsidRDefault="006E57AB" w:rsidP="0059353D">
      <w:pPr>
        <w:spacing w:after="0" w:line="480" w:lineRule="auto"/>
        <w:jc w:val="both"/>
      </w:pPr>
      <w:r w:rsidRPr="00860010">
        <w:rPr>
          <w:iCs/>
        </w:rPr>
        <w:t>Health education and promotion are important components of disease prevention activities in general</w:t>
      </w:r>
      <w:r>
        <w:rPr>
          <w:iCs/>
        </w:rPr>
        <w:t>,</w:t>
      </w:r>
      <w:r w:rsidRPr="00860010">
        <w:rPr>
          <w:iCs/>
        </w:rPr>
        <w:t xml:space="preserve"> but during disease outbreaks and health emergencies, they play a key role in an active response by offering well-established tools</w:t>
      </w:r>
      <w:r>
        <w:rPr>
          <w:iCs/>
        </w:rPr>
        <w:t xml:space="preserve"> (especially important in the absence of specific drug therapies and vaccines)</w:t>
      </w:r>
      <w:r w:rsidRPr="00860010">
        <w:rPr>
          <w:iCs/>
        </w:rPr>
        <w:t xml:space="preserve"> to communicate and engage</w:t>
      </w:r>
      <w:r>
        <w:rPr>
          <w:iCs/>
        </w:rPr>
        <w:t xml:space="preserve"> quickly and effectively</w:t>
      </w:r>
      <w:r w:rsidRPr="00860010">
        <w:rPr>
          <w:iCs/>
        </w:rPr>
        <w:t xml:space="preserve"> with the public</w:t>
      </w:r>
      <w:r>
        <w:rPr>
          <w:iCs/>
        </w:rPr>
        <w:t xml:space="preserve"> and prevent infections</w:t>
      </w:r>
      <w:r w:rsidRPr="00BF4FA1">
        <w:rPr>
          <w:iCs/>
        </w:rPr>
        <w:t xml:space="preserve">. </w:t>
      </w:r>
      <w:r>
        <w:rPr>
          <w:iCs/>
        </w:rPr>
        <w:t xml:space="preserve"> Messaging specifically targeting children who may well be acting as “silent” transmitters of COVID-19 is presently lacking. A video/cartoon-based entertainment-education intervention would fill this need. </w:t>
      </w:r>
      <w:r w:rsidRPr="00BF4FA1">
        <w:t xml:space="preserve">This </w:t>
      </w:r>
      <w:r>
        <w:t>is</w:t>
      </w:r>
      <w:r w:rsidRPr="00BF4FA1">
        <w:t xml:space="preserve"> important now</w:t>
      </w:r>
      <w:r>
        <w:t xml:space="preserve"> during the peak of transmission and, most importantly, to reinforce and habituate good hygiene practices long-term</w:t>
      </w:r>
      <w:r w:rsidRPr="00BF4FA1">
        <w:t xml:space="preserve"> to prevent rebound infections,</w:t>
      </w:r>
      <w:r>
        <w:t xml:space="preserve"> given the pandemic is expected to continue</w:t>
      </w:r>
      <w:r w:rsidRPr="00BF4FA1">
        <w:t xml:space="preserve"> for at least the remainder of 2020 if not longer if COVID-19 becomes endemic. Targeted COVID-19 messages to c</w:t>
      </w:r>
      <w:r w:rsidRPr="00860010">
        <w:t>hildren will also be effective for influenza prevention</w:t>
      </w:r>
      <w:r>
        <w:t xml:space="preserve"> and</w:t>
      </w:r>
      <w:r w:rsidRPr="00860010">
        <w:t xml:space="preserve"> considerably help reduce COVID-19/Influenza co-morbidit</w:t>
      </w:r>
      <w:r>
        <w:t xml:space="preserve">y; in addition, it will provide a targeted explanation to help minimise fear and anxiety in young children. </w:t>
      </w:r>
      <w:r w:rsidRPr="00860010">
        <w:t xml:space="preserve">      </w:t>
      </w:r>
    </w:p>
    <w:p w:rsidR="006E57AB" w:rsidRDefault="006E57AB" w:rsidP="0059353D">
      <w:pPr>
        <w:spacing w:after="0" w:line="480" w:lineRule="auto"/>
        <w:jc w:val="both"/>
      </w:pPr>
    </w:p>
    <w:p w:rsidR="006E57AB" w:rsidRPr="00B725A1" w:rsidRDefault="006E57AB" w:rsidP="0059353D">
      <w:pPr>
        <w:spacing w:after="0" w:line="480" w:lineRule="auto"/>
        <w:jc w:val="both"/>
        <w:rPr>
          <w:b/>
        </w:rPr>
      </w:pPr>
      <w:bookmarkStart w:id="0" w:name="_GoBack"/>
      <w:bookmarkEnd w:id="0"/>
      <w:r w:rsidRPr="00B725A1">
        <w:rPr>
          <w:b/>
        </w:rPr>
        <w:lastRenderedPageBreak/>
        <w:t>References</w:t>
      </w:r>
    </w:p>
    <w:p w:rsidR="006E57AB" w:rsidRPr="00971FAE" w:rsidRDefault="006E57AB" w:rsidP="00971FAE">
      <w:pPr>
        <w:pStyle w:val="ListParagraph"/>
        <w:numPr>
          <w:ilvl w:val="0"/>
          <w:numId w:val="4"/>
        </w:numPr>
        <w:spacing w:after="0" w:line="480" w:lineRule="auto"/>
        <w:ind w:left="714" w:hanging="357"/>
        <w:rPr>
          <w:b/>
          <w:lang w:val="en-US"/>
        </w:rPr>
      </w:pPr>
      <w:r w:rsidRPr="00971FAE">
        <w:rPr>
          <w:color w:val="212121"/>
          <w:lang w:val="en"/>
        </w:rPr>
        <w:t xml:space="preserve">Lu X, Zhang L, Du H, et al. SARS-CoV-2 Infection in Children [published online ahead of print, 2020 Mar 18]. </w:t>
      </w:r>
      <w:r w:rsidRPr="00971FAE">
        <w:rPr>
          <w:iCs/>
          <w:color w:val="212121"/>
          <w:lang w:val="en"/>
        </w:rPr>
        <w:t>N Engl J Med</w:t>
      </w:r>
      <w:r w:rsidRPr="00971FAE">
        <w:rPr>
          <w:color w:val="212121"/>
          <w:lang w:val="en"/>
        </w:rPr>
        <w:t>. 2020;</w:t>
      </w:r>
      <w:r>
        <w:rPr>
          <w:color w:val="212121"/>
          <w:lang w:val="en"/>
        </w:rPr>
        <w:t xml:space="preserve"> </w:t>
      </w:r>
      <w:r w:rsidRPr="00971FAE">
        <w:rPr>
          <w:color w:val="212121"/>
          <w:lang w:val="en"/>
        </w:rPr>
        <w:t>NEJMc2005073. doi:10.1056/NEJMc2005073</w:t>
      </w:r>
      <w:r>
        <w:rPr>
          <w:color w:val="212121"/>
          <w:lang w:val="en"/>
        </w:rPr>
        <w:t>.</w:t>
      </w:r>
    </w:p>
    <w:p w:rsidR="006E57AB" w:rsidRPr="00B725A1" w:rsidRDefault="006E57AB" w:rsidP="00971FAE">
      <w:pPr>
        <w:pStyle w:val="ListParagraph"/>
        <w:numPr>
          <w:ilvl w:val="0"/>
          <w:numId w:val="4"/>
        </w:numPr>
        <w:spacing w:after="0" w:line="480" w:lineRule="auto"/>
        <w:ind w:left="714" w:hanging="357"/>
        <w:rPr>
          <w:b/>
          <w:lang w:val="en-US"/>
        </w:rPr>
      </w:pPr>
      <w:r w:rsidRPr="00B725A1">
        <w:t>Worby CJ, Chaves SS, Wallinga J, Lip</w:t>
      </w:r>
      <w:r>
        <w:t>sitch M, Finelli L, Goldstein E. (2015)</w:t>
      </w:r>
      <w:r w:rsidRPr="00B725A1">
        <w:t xml:space="preserve"> On the relative role of different age groups in influenza epidemics. </w:t>
      </w:r>
      <w:r w:rsidRPr="00971FAE">
        <w:t>Epidemics</w:t>
      </w:r>
      <w:r w:rsidRPr="00B725A1">
        <w:t xml:space="preserve"> </w:t>
      </w:r>
      <w:r w:rsidRPr="00971FAE">
        <w:t>13:</w:t>
      </w:r>
      <w:r w:rsidRPr="00B725A1">
        <w:t>10-16.</w:t>
      </w:r>
    </w:p>
    <w:p w:rsidR="006E57AB" w:rsidRPr="004A2FCD" w:rsidRDefault="006E57AB" w:rsidP="00971FAE">
      <w:pPr>
        <w:pStyle w:val="ListParagraph"/>
        <w:numPr>
          <w:ilvl w:val="0"/>
          <w:numId w:val="4"/>
        </w:numPr>
        <w:spacing w:after="0" w:line="480" w:lineRule="auto"/>
        <w:ind w:left="714" w:hanging="357"/>
        <w:rPr>
          <w:lang w:val="en-US"/>
        </w:rPr>
      </w:pPr>
      <w:r w:rsidRPr="004A2FCD">
        <w:rPr>
          <w:color w:val="333333"/>
          <w:lang w:val="en"/>
        </w:rPr>
        <w:t>World Health Organization. (‎1988)‎ Education for health: a manual on health education in primary health care.</w:t>
      </w:r>
      <w:r>
        <w:rPr>
          <w:color w:val="333333"/>
          <w:lang w:val="en"/>
        </w:rPr>
        <w:t xml:space="preserve"> WHO, Geneva.</w:t>
      </w:r>
    </w:p>
    <w:p w:rsidR="006E57AB" w:rsidRPr="00B725A1" w:rsidRDefault="006E57AB" w:rsidP="00971FAE">
      <w:pPr>
        <w:pStyle w:val="ListParagraph"/>
        <w:numPr>
          <w:ilvl w:val="0"/>
          <w:numId w:val="4"/>
        </w:numPr>
        <w:spacing w:after="0" w:line="480" w:lineRule="auto"/>
        <w:ind w:left="714" w:hanging="357"/>
        <w:rPr>
          <w:lang w:val="en-US"/>
        </w:rPr>
      </w:pPr>
      <w:r>
        <w:rPr>
          <w:lang w:val="en-US"/>
        </w:rPr>
        <w:t>Bieri F, Gray DJ, Raso G, Li YS, McManus D</w:t>
      </w:r>
      <w:r w:rsidRPr="00B725A1">
        <w:rPr>
          <w:lang w:val="en-US"/>
        </w:rPr>
        <w:t xml:space="preserve">P. (2012) </w:t>
      </w:r>
      <w:r>
        <w:rPr>
          <w:lang w:val="en"/>
        </w:rPr>
        <w:t>A systematic review of preventive health educational videos targeting infectious diseases in schoolchildren.</w:t>
      </w:r>
      <w:r w:rsidRPr="00B725A1">
        <w:rPr>
          <w:lang w:val="en-US"/>
        </w:rPr>
        <w:t xml:space="preserve"> </w:t>
      </w:r>
      <w:r w:rsidRPr="00731FBC">
        <w:rPr>
          <w:lang w:val="en-US"/>
        </w:rPr>
        <w:t>Am J Trop Med Hyg</w:t>
      </w:r>
      <w:r>
        <w:rPr>
          <w:lang w:val="en-US"/>
        </w:rPr>
        <w:t xml:space="preserve"> 87: 972-</w:t>
      </w:r>
      <w:r w:rsidRPr="00B725A1">
        <w:rPr>
          <w:lang w:val="en-US"/>
        </w:rPr>
        <w:t>8</w:t>
      </w:r>
      <w:r>
        <w:rPr>
          <w:lang w:val="en-US"/>
        </w:rPr>
        <w:t>.</w:t>
      </w:r>
    </w:p>
    <w:p w:rsidR="006E57AB" w:rsidRPr="00B725A1" w:rsidRDefault="006E57AB" w:rsidP="00971FAE">
      <w:pPr>
        <w:pStyle w:val="ListParagraph"/>
        <w:numPr>
          <w:ilvl w:val="0"/>
          <w:numId w:val="4"/>
        </w:numPr>
        <w:spacing w:after="0" w:line="480" w:lineRule="auto"/>
        <w:ind w:left="714" w:hanging="357"/>
        <w:rPr>
          <w:lang w:val="en-US"/>
        </w:rPr>
      </w:pPr>
      <w:r>
        <w:rPr>
          <w:lang w:val="en-US"/>
        </w:rPr>
        <w:t>Bieri F, Gray DJ, Williams GM</w:t>
      </w:r>
      <w:r w:rsidRPr="00B725A1">
        <w:rPr>
          <w:lang w:val="en-US"/>
        </w:rPr>
        <w:t xml:space="preserve">, </w:t>
      </w:r>
      <w:r>
        <w:rPr>
          <w:lang w:val="en-US"/>
        </w:rPr>
        <w:t>et al</w:t>
      </w:r>
      <w:r w:rsidRPr="00B725A1">
        <w:rPr>
          <w:lang w:val="en-US"/>
        </w:rPr>
        <w:t xml:space="preserve">. (2013) Health </w:t>
      </w:r>
      <w:r>
        <w:rPr>
          <w:lang w:val="en-US"/>
        </w:rPr>
        <w:t>education package prevents worm i</w:t>
      </w:r>
      <w:r w:rsidRPr="00B725A1">
        <w:rPr>
          <w:lang w:val="en-US"/>
        </w:rPr>
        <w:t>nfections</w:t>
      </w:r>
      <w:r>
        <w:rPr>
          <w:lang w:val="en-US"/>
        </w:rPr>
        <w:t xml:space="preserve"> in Chinese s</w:t>
      </w:r>
      <w:r w:rsidRPr="00B725A1">
        <w:rPr>
          <w:lang w:val="en-US"/>
        </w:rPr>
        <w:t xml:space="preserve">choolchildren. </w:t>
      </w:r>
      <w:r>
        <w:rPr>
          <w:lang w:val="en-US"/>
        </w:rPr>
        <w:t>N Engl J Med 368: 1603-</w:t>
      </w:r>
      <w:r w:rsidRPr="00B725A1">
        <w:rPr>
          <w:lang w:val="en-US"/>
        </w:rPr>
        <w:t>12.</w:t>
      </w:r>
    </w:p>
    <w:p w:rsidR="006E57AB" w:rsidRPr="00B725A1" w:rsidRDefault="006E57AB" w:rsidP="00B40808">
      <w:pPr>
        <w:pStyle w:val="ListParagraph"/>
        <w:spacing w:after="0" w:line="360" w:lineRule="auto"/>
        <w:jc w:val="both"/>
        <w:rPr>
          <w:lang w:val="en-US"/>
        </w:rPr>
      </w:pPr>
    </w:p>
    <w:p w:rsidR="006E57AB" w:rsidRPr="00340FEC" w:rsidRDefault="006E57AB" w:rsidP="00B40808">
      <w:pPr>
        <w:spacing w:after="0" w:line="360" w:lineRule="auto"/>
        <w:jc w:val="both"/>
        <w:rPr>
          <w:iCs/>
        </w:rPr>
      </w:pPr>
    </w:p>
    <w:p w:rsidR="006E57AB" w:rsidRPr="00BF4FA1" w:rsidRDefault="006E57AB" w:rsidP="00B40808">
      <w:pPr>
        <w:spacing w:after="0" w:line="360" w:lineRule="auto"/>
        <w:jc w:val="both"/>
        <w:rPr>
          <w:lang w:val="en-US"/>
        </w:rPr>
      </w:pPr>
      <w:r w:rsidRPr="00BF4FA1">
        <w:rPr>
          <w:lang w:val="en-US"/>
        </w:rPr>
        <w:t xml:space="preserve"> </w:t>
      </w:r>
    </w:p>
    <w:p w:rsidR="00503CB3" w:rsidRDefault="00F639AE"/>
    <w:sectPr w:rsidR="00503CB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AE" w:rsidRDefault="00F639AE" w:rsidP="00F639AE">
      <w:pPr>
        <w:spacing w:after="0" w:line="240" w:lineRule="auto"/>
      </w:pPr>
      <w:r>
        <w:separator/>
      </w:r>
    </w:p>
  </w:endnote>
  <w:endnote w:type="continuationSeparator" w:id="0">
    <w:p w:rsidR="00F639AE" w:rsidRDefault="00F639AE" w:rsidP="00F6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65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9AE" w:rsidRDefault="00F639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5875" w:rsidRDefault="00F63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AE" w:rsidRDefault="00F639AE" w:rsidP="00F639AE">
      <w:pPr>
        <w:spacing w:after="0" w:line="240" w:lineRule="auto"/>
      </w:pPr>
      <w:r>
        <w:separator/>
      </w:r>
    </w:p>
  </w:footnote>
  <w:footnote w:type="continuationSeparator" w:id="0">
    <w:p w:rsidR="00F639AE" w:rsidRDefault="00F639AE" w:rsidP="00F63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A2E"/>
    <w:multiLevelType w:val="hybridMultilevel"/>
    <w:tmpl w:val="A1E8E8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968"/>
    <w:multiLevelType w:val="hybridMultilevel"/>
    <w:tmpl w:val="CD9C88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24CC"/>
    <w:multiLevelType w:val="hybridMultilevel"/>
    <w:tmpl w:val="A1E8E8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C8B"/>
    <w:multiLevelType w:val="hybridMultilevel"/>
    <w:tmpl w:val="6E2621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774DF"/>
    <w:multiLevelType w:val="hybridMultilevel"/>
    <w:tmpl w:val="EB1C18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6D9F"/>
    <w:multiLevelType w:val="hybridMultilevel"/>
    <w:tmpl w:val="69068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F47EE"/>
    <w:multiLevelType w:val="hybridMultilevel"/>
    <w:tmpl w:val="201AE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E57AB"/>
    <w:rsid w:val="006E10C6"/>
    <w:rsid w:val="006E57AB"/>
    <w:rsid w:val="00D52FAD"/>
    <w:rsid w:val="00F6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9776"/>
  <w15:chartTrackingRefBased/>
  <w15:docId w15:val="{3152007F-53B2-4B08-961C-AE7816AD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A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E57A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  <w:rsid w:val="006E57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E57AB"/>
  </w:style>
  <w:style w:type="character" w:customStyle="1" w:styleId="Heading1Char">
    <w:name w:val="Heading 1 Char"/>
    <w:basedOn w:val="DefaultParagraphFont"/>
    <w:link w:val="Heading1"/>
    <w:uiPriority w:val="9"/>
    <w:rsid w:val="006E57A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6E57AB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E57AB"/>
    <w:rPr>
      <w:rFonts w:ascii="Times New Roman" w:hAnsi="Times New Roman" w:cs="Times New Roman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E57A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E57AB"/>
    <w:rPr>
      <w:rFonts w:ascii="Times New Roman" w:hAnsi="Times New Roman" w:cs="Times New Roman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57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A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A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5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7A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7A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E57A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57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57AB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7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57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57AB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6E57AB"/>
  </w:style>
  <w:style w:type="character" w:customStyle="1" w:styleId="sr-only">
    <w:name w:val="sr-only"/>
    <w:basedOn w:val="DefaultParagraphFont"/>
    <w:rsid w:val="006E57AB"/>
  </w:style>
  <w:style w:type="character" w:customStyle="1" w:styleId="text">
    <w:name w:val="text"/>
    <w:basedOn w:val="DefaultParagraphFont"/>
    <w:rsid w:val="006E57AB"/>
  </w:style>
  <w:style w:type="character" w:customStyle="1" w:styleId="author-ref">
    <w:name w:val="author-ref"/>
    <w:basedOn w:val="DefaultParagraphFont"/>
    <w:rsid w:val="006E57AB"/>
  </w:style>
  <w:style w:type="character" w:customStyle="1" w:styleId="ListParagraphChar">
    <w:name w:val="List Paragraph Char"/>
    <w:link w:val="ListParagraph"/>
    <w:uiPriority w:val="34"/>
    <w:rsid w:val="006E57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jm.org/doi/full/10.1056/nejmoa120488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ren.gray@anu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 Berghofer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McManus</dc:creator>
  <cp:keywords/>
  <dc:description/>
  <cp:lastModifiedBy>Don McManus</cp:lastModifiedBy>
  <cp:revision>2</cp:revision>
  <dcterms:created xsi:type="dcterms:W3CDTF">2020-04-21T02:55:00Z</dcterms:created>
  <dcterms:modified xsi:type="dcterms:W3CDTF">2020-04-21T03:02:00Z</dcterms:modified>
</cp:coreProperties>
</file>